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9452D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61339F" wp14:editId="7C420D9B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F7AE2" w14:textId="77777777" w:rsidR="005D2A7F" w:rsidRDefault="00FC1E97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2E29F809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1B1D3322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4A3F6C3A" w14:textId="77777777" w:rsidR="005D2A7F" w:rsidRDefault="00FC1E97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7E27D4D8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91D5243" w14:textId="4266C937" w:rsidR="005D2A7F" w:rsidRDefault="00FC1E9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6D01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международная </w:t>
      </w:r>
      <w:r w:rsidR="00EB1219" w:rsidRPr="00EB121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ЭКОНОМИКА И </w:t>
      </w:r>
      <w:r w:rsidR="006D011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бизнес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54E9AE7A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76BD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A51EC8E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ECD34F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7361BB" w14:textId="77777777" w:rsidR="005D2A7F" w:rsidRDefault="005D2A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8790937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636B5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0F1A5CE0" w14:textId="77777777" w:rsidR="005D2A7F" w:rsidRDefault="005D2A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169B68D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14:paraId="4F8CE30A" w14:textId="77777777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контрольной работы</w:t>
      </w:r>
    </w:p>
    <w:p w14:paraId="6AEEC9BA" w14:textId="77777777" w:rsidR="005D2A7F" w:rsidRDefault="00FC1E97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BF354C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Международное научно-техническое сотрудничество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65BDDABB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F7D230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EB4CCDB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923D230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E43531B" w14:textId="77777777" w:rsidR="005D2A7F" w:rsidRDefault="00FC1E97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67D7FA3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3A6EDCA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5FD481C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0C418F7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DFE7772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63947B3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E807E75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28045F0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E07F6B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2905486" w14:textId="77777777" w:rsidR="005D2A7F" w:rsidRDefault="005D2A7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6075931" w14:textId="77777777" w:rsidR="005D2A7F" w:rsidRDefault="005D2A7F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42F595B3" w14:textId="77777777" w:rsidR="005D2A7F" w:rsidRDefault="00FC1E97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14:paraId="627CD941" w14:textId="401412DF" w:rsidR="005D2A7F" w:rsidRDefault="00FC1E97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7A6DB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6AA77BA9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FF58F" w14:textId="77777777" w:rsidR="005D2A7F" w:rsidRDefault="005D2A7F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C4FC2" w14:textId="77777777" w:rsidR="005D2A7F" w:rsidRDefault="00FC1E97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Составители: </w:t>
      </w:r>
      <w:r w:rsidR="00EB121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Угнич Е.А.</w:t>
      </w:r>
    </w:p>
    <w:p w14:paraId="294C9307" w14:textId="77777777" w:rsidR="005D2A7F" w:rsidRDefault="005D2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14D4E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>
        <w:rPr>
          <w:rFonts w:ascii="Times New Roman" w:hAnsi="Times New Roman"/>
          <w:sz w:val="28"/>
          <w:szCs w:val="24"/>
        </w:rPr>
        <w:t xml:space="preserve">контрольной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BF354C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Международное научно-техническое сотрудничество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14:paraId="21EF9A68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оформлению контрольной работы.</w:t>
      </w:r>
    </w:p>
    <w:p w14:paraId="00033F02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заочной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 для направления подготовки 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38.0</w:t>
      </w:r>
      <w:r w:rsidR="00D7697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B1219">
        <w:rPr>
          <w:rFonts w:ascii="Times New Roman" w:eastAsia="Times New Roman" w:hAnsi="Times New Roman" w:cs="Times New Roman"/>
          <w:sz w:val="28"/>
          <w:szCs w:val="24"/>
          <w:lang w:eastAsia="ru-RU"/>
        </w:rPr>
        <w:t>.01 – экономика, программа «Мировая экономика</w:t>
      </w:r>
      <w:r w:rsidR="00D7697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1794DE2F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51C7C3B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0D6ABD9" w14:textId="77777777" w:rsidR="005D2A7F" w:rsidRDefault="00FC1E97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14:paraId="768BA634" w14:textId="04371D85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7A6D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 Е.А.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14:paraId="66741B30" w14:textId="77777777" w:rsidR="005D2A7F" w:rsidRDefault="00FC1E97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14:paraId="0F43FBD9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3E216D87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373A8A4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71951D4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164F8FA" w14:textId="77777777" w:rsidR="005D2A7F" w:rsidRDefault="00FC1E97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20__г. </w:t>
      </w:r>
    </w:p>
    <w:p w14:paraId="69B042D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2A004E61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8CB9BC7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6624188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1CCE65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CACF9B5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12F482C0" w14:textId="77777777" w:rsidR="005D2A7F" w:rsidRDefault="005D2A7F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4948CC1A" w14:textId="77777777" w:rsidR="005D2A7F" w:rsidRDefault="005D2A7F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14:paraId="08CADECF" w14:textId="77777777" w:rsidR="005D2A7F" w:rsidRDefault="00FC1E97" w:rsidP="00EB121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14:paraId="69D26B1C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14:paraId="48640F0D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</w:t>
      </w:r>
      <w:r>
        <w:rPr>
          <w:rFonts w:ascii="Times New Roman" w:hAnsi="Times New Roman" w:cs="Times New Roman"/>
          <w:sz w:val="28"/>
          <w:szCs w:val="28"/>
        </w:rPr>
        <w:t>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14:paraId="41A2458E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33EA4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выполнения контрольной работы</w:t>
      </w:r>
    </w:p>
    <w:p w14:paraId="5996DC30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14:paraId="0B8A09A3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A070C8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14:paraId="2B1375D6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выполнения контрольной работы необходимо: </w:t>
      </w:r>
    </w:p>
    <w:p w14:paraId="249C49AB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Предварительно ознакомиться с программой курса дисциплины, разработанной на кафедре. </w:t>
      </w:r>
    </w:p>
    <w:p w14:paraId="1AC2DE12" w14:textId="77777777" w:rsidR="005D2A7F" w:rsidRDefault="00FC1E97">
      <w:pPr>
        <w:pStyle w:val="a3"/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14:paraId="40CE0DD0" w14:textId="77777777" w:rsidR="005D2A7F" w:rsidRDefault="00FC1E97">
      <w:pPr>
        <w:pStyle w:val="a3"/>
        <w:numPr>
          <w:ilvl w:val="0"/>
          <w:numId w:val="1"/>
        </w:numPr>
        <w:shd w:val="clear" w:color="auto" w:fill="FFFFFF"/>
        <w:tabs>
          <w:tab w:val="left" w:pos="994"/>
        </w:tabs>
        <w:spacing w:before="0" w:beforeAutospacing="0" w:after="0" w:afterAutospacing="0" w:line="276" w:lineRule="auto"/>
        <w:ind w:left="0"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Правильно выбрать вариант.</w:t>
      </w:r>
    </w:p>
    <w:p w14:paraId="3BF4C406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14:paraId="3810DD64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Подбор литературы к вопросам контрольной работы начинается с трудов </w:t>
      </w:r>
      <w:r w:rsidR="000B2FB9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A65D3">
        <w:rPr>
          <w:rFonts w:ascii="Times New Roman" w:hAnsi="Times New Roman" w:cs="Times New Roman"/>
          <w:color w:val="000000"/>
          <w:sz w:val="28"/>
          <w:szCs w:val="28"/>
        </w:rPr>
        <w:t>международному научно-техническому сотрудничеству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Основную литературу по вопросам контрольной работы можно взять в библиотеке </w:t>
      </w:r>
      <w:r w:rsidRPr="007A6DBB">
        <w:rPr>
          <w:rFonts w:ascii="Times New Roman" w:hAnsi="Times New Roman" w:cs="Times New Roman"/>
          <w:color w:val="000000"/>
          <w:sz w:val="28"/>
          <w:szCs w:val="28"/>
        </w:rPr>
        <w:t>или на сайте ЭБС университета. Кроме основной, необходимо использовать и дополнительную литературу. Она подбирается обучающимися самостоятельно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Для этого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 w14:paraId="7A0A1C8B" w14:textId="77777777" w:rsidR="005D2A7F" w:rsidRDefault="00FC1E97">
      <w:pPr>
        <w:pStyle w:val="a4"/>
        <w:widowControl w:val="0"/>
        <w:numPr>
          <w:ilvl w:val="0"/>
          <w:numId w:val="1"/>
        </w:numPr>
        <w:tabs>
          <w:tab w:val="left" w:pos="102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Правильно обработать материал и корректно изложить его в контрольной работе.</w:t>
      </w:r>
    </w:p>
    <w:p w14:paraId="70F5EAD1" w14:textId="77777777" w:rsidR="005D2A7F" w:rsidRDefault="00FC1E97">
      <w:pPr>
        <w:pStyle w:val="a4"/>
        <w:widowControl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14:paraId="253E4A8A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14:paraId="61BE5849" w14:textId="77777777" w:rsidR="005D2A7F" w:rsidRDefault="00FC1E97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14:paraId="5E4DE5A6" w14:textId="77777777" w:rsidR="005D2A7F" w:rsidRDefault="005D2A7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6FF82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14:paraId="7B90E59B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14:paraId="00C576E7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 (содержание);</w:t>
      </w:r>
    </w:p>
    <w:p w14:paraId="326F3EAE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 (теоретическая);</w:t>
      </w:r>
    </w:p>
    <w:p w14:paraId="70C46CFB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задание;</w:t>
      </w:r>
    </w:p>
    <w:p w14:paraId="3A95C15F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источников;</w:t>
      </w:r>
    </w:p>
    <w:p w14:paraId="1E283633" w14:textId="77777777" w:rsidR="005D2A7F" w:rsidRDefault="00FC1E97">
      <w:pPr>
        <w:numPr>
          <w:ilvl w:val="1"/>
          <w:numId w:val="2"/>
        </w:numPr>
        <w:tabs>
          <w:tab w:val="left" w:pos="99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(при необходимости).</w:t>
      </w:r>
    </w:p>
    <w:p w14:paraId="07B4107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14:paraId="21E80863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Титульный лист.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14:paraId="5D96741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Оглавление (содержание).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14:paraId="6FEF693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</w:t>
      </w:r>
    </w:p>
    <w:p w14:paraId="4EA385C5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2.4. Список использованных источников.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14:paraId="724FB1E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14:paraId="7668D4DD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14:paraId="2EBB1C7F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14:paraId="5B40F180" w14:textId="77777777" w:rsidR="005D2A7F" w:rsidRDefault="00FC1E97">
      <w:pPr>
        <w:numPr>
          <w:ilvl w:val="0"/>
          <w:numId w:val="3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и.т.д. </w:t>
      </w:r>
    </w:p>
    <w:p w14:paraId="657DB2A2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нормативно-правовые документы, материалы и.т.д. </w:t>
      </w:r>
    </w:p>
    <w:p w14:paraId="223AE9B7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24C46E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контрольной работы </w:t>
      </w:r>
    </w:p>
    <w:p w14:paraId="22909D95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 печатных листов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FA2D01" w14:textId="77777777" w:rsidR="005D2A7F" w:rsidRDefault="005D2A7F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9D4AF7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14:paraId="0551CA23" w14:textId="77777777" w:rsidR="005D2A7F" w:rsidRDefault="005D2A7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4637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14:paraId="6229131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14:paraId="5CCE360A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текст печатается 14 шрифтом с интервалом 1,5;</w:t>
      </w:r>
    </w:p>
    <w:p w14:paraId="6DFC11E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14:paraId="7A4860F9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14:paraId="45BD335B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14:paraId="0668107D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внутритекстовыми – пишутся сразу после цитаты в скобках; 2. подстрочными, когда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14:paraId="614D4A80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14:paraId="6D2FE817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14:paraId="61E7A128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14:paraId="0E1E5D77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Нормативно-правовые акты: </w:t>
      </w:r>
    </w:p>
    <w:p w14:paraId="3DF46138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Федерации. Части  первая и вторая. – М.: ИНФРА- М, 1996. – 155 с.   </w:t>
      </w:r>
    </w:p>
    <w:p w14:paraId="634263A7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14:paraId="04F5F45C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Вардомский Л.Б., Скатерщикова Е.Е.  Внешнеэкономическая деятельность регионов России: Учебное пособие для вузов. – М.: АРКТИ, 2020. </w:t>
      </w:r>
    </w:p>
    <w:p w14:paraId="6AAC161B" w14:textId="77777777" w:rsidR="005D2A7F" w:rsidRDefault="00FC1E97">
      <w:pPr>
        <w:numPr>
          <w:ilvl w:val="0"/>
          <w:numId w:val="4"/>
        </w:numPr>
        <w:tabs>
          <w:tab w:val="left" w:pos="966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журнальных статей: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D8FBD9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14:paraId="2D429F35" w14:textId="77777777" w:rsidR="005D2A7F" w:rsidRDefault="00FC1E97">
      <w:pPr>
        <w:tabs>
          <w:tab w:val="left" w:pos="96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приложения оформляют как продолжение работы, 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14:paraId="6FE272E4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5E8F5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14:paraId="0FADAF7C" w14:textId="77777777" w:rsidR="005D2A7F" w:rsidRDefault="00FC1E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14:paraId="1531E857" w14:textId="77777777" w:rsidR="005D2A7F" w:rsidRDefault="00FC1E97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14:paraId="36AAFF3D" w14:textId="77777777" w:rsidR="005D2A7F" w:rsidRDefault="005D2A7F">
      <w:pPr>
        <w:widowControl w:val="0"/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5"/>
        <w:gridCol w:w="3195"/>
        <w:gridCol w:w="3206"/>
      </w:tblGrid>
      <w:tr w:rsidR="005D2A7F" w14:paraId="311D491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0E926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2C7E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4D3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задания 2</w:t>
            </w:r>
          </w:p>
        </w:tc>
      </w:tr>
      <w:tr w:rsidR="005D2A7F" w14:paraId="7EE1AA66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8B2B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3E0B3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632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3FB5677C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52FAD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01,21,41,61,81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E30F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87A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56418618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4FCFC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02,22,42,62,82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2B39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D82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06D858E8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2217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03,23,43,63,83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8A5E11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A6D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01123CCA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764D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04,24,44,64,84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438A0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3222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50E1D3CF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2C63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05,25,45,65,85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6ABB4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072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26B6D844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77CF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06,26,46,66,86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D22EF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1FF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7F7D6D37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36FA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07,27,47,67,87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2F80C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6E9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79AAF91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D3CE3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08,28,48,68,88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9A075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70C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71F406A4" w14:textId="77777777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2240F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09,29,49,69,89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42A1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6C3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5EA3B51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FB62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10,30,50,70,90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EC5B6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3DD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D2A7F" w14:paraId="4BAA17E1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694C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11,31,51,71,91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6B8A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71CD7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D2A7F" w14:paraId="2551DFD2" w14:textId="77777777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63004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12,32,52,72,92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EB96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5A5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2A7F" w14:paraId="2729E853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4419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13,33,53,73,93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54666A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CB5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D2A7F" w14:paraId="28150B2F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C2825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14,34,54,74,94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EC9F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4028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D2A7F" w14:paraId="6B275C5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5ADCF2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15,35,55,75,95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DB05B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9C4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D2A7F" w14:paraId="069517B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D496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16,36,56,76,96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67E7C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5B79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D2A7F" w14:paraId="4E3736EA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A6F9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17,37,57,77,97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58A81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1E5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2A7F" w14:paraId="2FB9BD4E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428F25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18,38,58,78,98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A4AA6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6B5D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D2A7F" w14:paraId="53278B2A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0301B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19,39,59,79,99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623C53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FEB0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D2A7F" w14:paraId="5BDC9140" w14:textId="77777777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2B34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20,40,60,80,00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5AA7F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D14E" w14:textId="77777777" w:rsidR="005D2A7F" w:rsidRDefault="00FC1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14:paraId="37BD1E17" w14:textId="77777777" w:rsidR="005D2A7F" w:rsidRDefault="005D2A7F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382A06" w14:textId="77777777" w:rsidR="005D2A7F" w:rsidRDefault="00FC1E97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контрольной работы</w:t>
      </w:r>
      <w:r w:rsidRPr="00543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вариантам</w:t>
      </w:r>
    </w:p>
    <w:p w14:paraId="1EB127EF" w14:textId="77777777" w:rsidR="005D2A7F" w:rsidRDefault="00FC1E97">
      <w:pPr>
        <w:widowControl w:val="0"/>
        <w:shd w:val="clear" w:color="auto" w:fill="FFFFFF"/>
        <w:tabs>
          <w:tab w:val="left" w:pos="1092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9"/>
          <w:sz w:val="28"/>
          <w:szCs w:val="28"/>
          <w:lang w:eastAsia="ru-RU"/>
        </w:rPr>
        <w:t>Задание 1</w:t>
      </w:r>
    </w:p>
    <w:p w14:paraId="0D55CA21" w14:textId="77777777" w:rsidR="00B65A64" w:rsidRPr="00B65A64" w:rsidRDefault="0043612A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B65A64"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МНТС: основные понятия и задачи </w:t>
      </w:r>
    </w:p>
    <w:p w14:paraId="2F380059" w14:textId="77777777" w:rsidR="00B65A64" w:rsidRPr="00B65A64" w:rsidRDefault="00B65A64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Стратегия России в развитии МНТС</w:t>
      </w:r>
    </w:p>
    <w:p w14:paraId="12721E31" w14:textId="77777777" w:rsidR="00B65A64" w:rsidRDefault="00B65A64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Человеческий капитал как ключевой ресурс МНТС. </w:t>
      </w:r>
    </w:p>
    <w:p w14:paraId="3EFCF8B2" w14:textId="77777777" w:rsidR="00B65A64" w:rsidRPr="00B65A64" w:rsidRDefault="00B65A64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формирования и развития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человеческого капитала</w:t>
      </w:r>
    </w:p>
    <w:p w14:paraId="09DD95AA" w14:textId="77777777" w:rsidR="00BF49F3" w:rsidRDefault="00B65A64" w:rsidP="00BF49F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МНТС: общая характеристика процессов. TRL, MRL</w:t>
      </w:r>
    </w:p>
    <w:p w14:paraId="14C35BCC" w14:textId="77777777" w:rsidR="00B65A64" w:rsidRPr="00B65A64" w:rsidRDefault="00BF49F3" w:rsidP="00BF49F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B65A64"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Фундаментальные и прикладные научные исследования</w:t>
      </w:r>
    </w:p>
    <w:p w14:paraId="25A56E10" w14:textId="77777777" w:rsidR="00B65A64" w:rsidRPr="00B65A64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B65A64"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интеллектуальной деятельности в системе МНТС</w:t>
      </w:r>
    </w:p>
    <w:p w14:paraId="567C2431" w14:textId="77777777" w:rsidR="00B65A64" w:rsidRPr="00B65A64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B65A64"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Инновации и трансфер технологий в системе МНТС</w:t>
      </w:r>
    </w:p>
    <w:p w14:paraId="73855778" w14:textId="77777777" w:rsidR="00B65A64" w:rsidRPr="00B65A64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="00B65A64"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Коммерциализация инноваций: мировой опыт</w:t>
      </w:r>
    </w:p>
    <w:p w14:paraId="5D799778" w14:textId="77777777" w:rsidR="00B65A64" w:rsidRPr="00B65A64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="00B65A64"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Венчурное финансирование</w:t>
      </w:r>
    </w:p>
    <w:p w14:paraId="1CB4C09F" w14:textId="77777777" w:rsidR="00B65A64" w:rsidRPr="00B65A64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B65A64"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малых инновационных предприятий</w:t>
      </w:r>
    </w:p>
    <w:p w14:paraId="5D4E480F" w14:textId="77777777" w:rsidR="002C1E1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B65A64" w:rsidRPr="00B65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Фандрайзинг</w:t>
      </w:r>
    </w:p>
    <w:p w14:paraId="1F2F5F69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Экономика и наука: особенности взаимосвязи</w:t>
      </w:r>
    </w:p>
    <w:p w14:paraId="776C1190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Развитие МНТС</w:t>
      </w:r>
    </w:p>
    <w:p w14:paraId="07EABA07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="00553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 и виды МНТС</w:t>
      </w:r>
    </w:p>
    <w:p w14:paraId="52EF43A2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</w:t>
      </w:r>
      <w:r w:rsidR="00553382" w:rsidRPr="00553382">
        <w:t xml:space="preserve"> </w:t>
      </w:r>
      <w:r w:rsidR="00553382" w:rsidRPr="00553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специализированные учреждения ООН координируют международные научно-технические отношения? Раскройте их компетенцию</w:t>
      </w:r>
    </w:p>
    <w:p w14:paraId="40027452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</w:t>
      </w:r>
      <w:r w:rsidR="00553382" w:rsidRPr="00553382">
        <w:t xml:space="preserve"> </w:t>
      </w:r>
      <w:r w:rsidR="00553382" w:rsidRPr="00553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Вызовы и приоритеты научно-технологического развития России</w:t>
      </w:r>
    </w:p>
    <w:p w14:paraId="393538CB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</w:t>
      </w:r>
      <w:r w:rsidR="00553382" w:rsidRPr="00553382">
        <w:t xml:space="preserve"> </w:t>
      </w:r>
      <w:r w:rsidR="00553382" w:rsidRPr="00553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Каковы основные направления МНТС РФ на глобальном, межрегиональном и региональном уровнях, уровне двух- и многостороннего межгосударственного МНТС?</w:t>
      </w:r>
    </w:p>
    <w:p w14:paraId="49D096C4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</w:t>
      </w:r>
      <w:r w:rsidR="00BE5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ИЧК и ИЧР: особенности индексов, структура, рейтинг стран мира</w:t>
      </w:r>
    </w:p>
    <w:p w14:paraId="6234C0EE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</w:t>
      </w:r>
      <w:r w:rsidR="00BE5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Методы оценки технологий</w:t>
      </w:r>
    </w:p>
    <w:p w14:paraId="1CDA6199" w14:textId="77777777" w:rsidR="00BF49F3" w:rsidRDefault="00BF49F3" w:rsidP="00B65A64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DEFD15" w14:textId="77777777" w:rsidR="005D2A7F" w:rsidRDefault="00FC1E97" w:rsidP="00C45303">
      <w:p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2</w:t>
      </w:r>
    </w:p>
    <w:p w14:paraId="059FC196" w14:textId="77777777" w:rsidR="005D2A7F" w:rsidRDefault="005D2A7F">
      <w:pPr>
        <w:widowControl w:val="0"/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D23863" w14:textId="77777777" w:rsidR="00BF354C" w:rsidRPr="00BF354C" w:rsidRDefault="00BF354C" w:rsidP="00BF354C">
      <w:pPr>
        <w:pStyle w:val="a4"/>
        <w:widowControl w:val="0"/>
        <w:numPr>
          <w:ilvl w:val="0"/>
          <w:numId w:val="9"/>
        </w:num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07CA0957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(Казахстан)</w:t>
      </w:r>
    </w:p>
    <w:p w14:paraId="6CD4FAE3" w14:textId="77777777" w:rsidR="00BF354C" w:rsidRPr="00BF354C" w:rsidRDefault="00BF354C" w:rsidP="00BF354C">
      <w:pPr>
        <w:pStyle w:val="a4"/>
        <w:widowControl w:val="0"/>
        <w:numPr>
          <w:ilvl w:val="0"/>
          <w:numId w:val="9"/>
        </w:num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41A9BDB7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(Беларусь)</w:t>
      </w:r>
    </w:p>
    <w:p w14:paraId="27DFFB03" w14:textId="77777777" w:rsidR="00BF354C" w:rsidRPr="00BF354C" w:rsidRDefault="00BF354C" w:rsidP="00BF354C">
      <w:pPr>
        <w:pStyle w:val="a4"/>
        <w:widowControl w:val="0"/>
        <w:numPr>
          <w:ilvl w:val="0"/>
          <w:numId w:val="9"/>
        </w:num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56AD5A49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(Кыргызстан)</w:t>
      </w:r>
    </w:p>
    <w:p w14:paraId="536D8533" w14:textId="77777777" w:rsidR="00BF354C" w:rsidRPr="00BF354C" w:rsidRDefault="00BF354C" w:rsidP="00BF354C">
      <w:pPr>
        <w:pStyle w:val="a4"/>
        <w:widowControl w:val="0"/>
        <w:numPr>
          <w:ilvl w:val="0"/>
          <w:numId w:val="9"/>
        </w:num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2B9BD7D6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(Иран)</w:t>
      </w:r>
    </w:p>
    <w:p w14:paraId="14B3EC36" w14:textId="77777777" w:rsidR="00BF354C" w:rsidRPr="00BF354C" w:rsidRDefault="00BF354C" w:rsidP="00BF354C">
      <w:pPr>
        <w:pStyle w:val="a4"/>
        <w:widowControl w:val="0"/>
        <w:numPr>
          <w:ilvl w:val="0"/>
          <w:numId w:val="9"/>
        </w:num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55798153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(Китай)</w:t>
      </w:r>
    </w:p>
    <w:p w14:paraId="31631F5A" w14:textId="77777777" w:rsidR="00BF354C" w:rsidRPr="00BF354C" w:rsidRDefault="00BF354C" w:rsidP="00BF354C">
      <w:pPr>
        <w:pStyle w:val="a4"/>
        <w:widowControl w:val="0"/>
        <w:numPr>
          <w:ilvl w:val="0"/>
          <w:numId w:val="9"/>
        </w:num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42B67D23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(Индия)</w:t>
      </w:r>
    </w:p>
    <w:p w14:paraId="6DEB7F74" w14:textId="77777777" w:rsidR="00BF354C" w:rsidRPr="00BF354C" w:rsidRDefault="00BF354C" w:rsidP="00BF354C">
      <w:pPr>
        <w:pStyle w:val="a4"/>
        <w:widowControl w:val="0"/>
        <w:numPr>
          <w:ilvl w:val="0"/>
          <w:numId w:val="9"/>
        </w:num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7E8579E0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(Бразилия)</w:t>
      </w:r>
    </w:p>
    <w:p w14:paraId="61A18693" w14:textId="77777777" w:rsidR="00BF354C" w:rsidRPr="00BF354C" w:rsidRDefault="00BF354C" w:rsidP="00BF354C">
      <w:pPr>
        <w:pStyle w:val="a4"/>
        <w:widowControl w:val="0"/>
        <w:numPr>
          <w:ilvl w:val="0"/>
          <w:numId w:val="9"/>
        </w:num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0CB4AD84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(ОАЭ)</w:t>
      </w:r>
    </w:p>
    <w:p w14:paraId="0A715AF4" w14:textId="77777777" w:rsidR="00BF354C" w:rsidRPr="00BF354C" w:rsidRDefault="00BF354C" w:rsidP="00BF354C">
      <w:pPr>
        <w:pStyle w:val="a4"/>
        <w:widowControl w:val="0"/>
        <w:numPr>
          <w:ilvl w:val="0"/>
          <w:numId w:val="9"/>
        </w:num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39BAE662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(Турция)</w:t>
      </w:r>
    </w:p>
    <w:p w14:paraId="522509BA" w14:textId="77777777" w:rsidR="00BF354C" w:rsidRPr="00BF354C" w:rsidRDefault="00BF354C" w:rsidP="00BF354C">
      <w:pPr>
        <w:pStyle w:val="a4"/>
        <w:widowControl w:val="0"/>
        <w:numPr>
          <w:ilvl w:val="0"/>
          <w:numId w:val="9"/>
        </w:numPr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Научно-технологическая система и приоритеты научно-технологического</w:t>
      </w:r>
    </w:p>
    <w:p w14:paraId="71F31363" w14:textId="77777777" w:rsidR="00BF354C" w:rsidRPr="00BF354C" w:rsidRDefault="00BF354C" w:rsidP="00BF354C">
      <w:pPr>
        <w:pStyle w:val="a4"/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зарубежных стран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(ЮАР)</w:t>
      </w:r>
    </w:p>
    <w:p w14:paraId="153BAF9C" w14:textId="77777777" w:rsidR="00BF354C" w:rsidRPr="00BF354C" w:rsidRDefault="00BF354C" w:rsidP="00BF354C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CA3DA" w14:textId="77777777" w:rsidR="00BF354C" w:rsidRPr="00782F9E" w:rsidRDefault="00BF354C" w:rsidP="00BF354C">
      <w:pPr>
        <w:widowControl w:val="0"/>
        <w:tabs>
          <w:tab w:val="left" w:pos="10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6B42B" w14:textId="77777777" w:rsidR="005D2A7F" w:rsidRDefault="00FC1E97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14:paraId="622AA485" w14:textId="77777777" w:rsidR="002024CA" w:rsidRDefault="002024CA" w:rsidP="00204CB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27111968"/>
      <w:r w:rsidRPr="002024C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Силакова Л.В., Оценка технологий: как принимать решения в инновационной экономике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24C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</w:t>
      </w:r>
      <w:r w:rsidR="004176A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анкт-Петербург</w:t>
      </w:r>
      <w:r w:rsidRPr="002024CA">
        <w:rPr>
          <w:rFonts w:ascii="Times New Roman" w:eastAsia="Times New Roman" w:hAnsi="Times New Roman" w:cs="Times New Roman"/>
          <w:sz w:val="28"/>
          <w:szCs w:val="28"/>
          <w:lang w:eastAsia="ru-RU"/>
        </w:rPr>
        <w:t>: Университет ИТМО, 2021.</w:t>
      </w:r>
    </w:p>
    <w:p w14:paraId="18F6666C" w14:textId="77777777" w:rsidR="004176A3" w:rsidRDefault="004176A3" w:rsidP="00204CB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6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 пособие по участию российских научных организаций и университетов в международной научно-технической деятельности / А. Г. Пикалова, Е. Г. Насыбулина, А. В. Соколов и др.; Нац. исслед. ун-т «Высшая школа экономики». –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r w:rsidRPr="004176A3">
        <w:rPr>
          <w:rFonts w:ascii="Times New Roman" w:eastAsia="Times New Roman" w:hAnsi="Times New Roman" w:cs="Times New Roman"/>
          <w:sz w:val="28"/>
          <w:szCs w:val="28"/>
          <w:lang w:eastAsia="ru-RU"/>
        </w:rPr>
        <w:t>: НИУ ВШЭ, 2017.</w:t>
      </w:r>
    </w:p>
    <w:p w14:paraId="3FC40A7C" w14:textId="77777777" w:rsidR="00E6775C" w:rsidRPr="00E6775C" w:rsidRDefault="00E6775C" w:rsidP="00E6775C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7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Задумкин К. А., Теребова С. В., Колотухин В. А., Гончаров В. В., Никеенко Д. В. Международное научно-техническое сотрудничество: региональный аспект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Москва-Минск, 2012</w:t>
      </w:r>
    </w:p>
    <w:p w14:paraId="5ED31B4D" w14:textId="77777777" w:rsidR="00204CBF" w:rsidRDefault="00204CBF" w:rsidP="00204CBF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Поляков, Н. А.  Управление инновационными проектами: учебник и практикум для вузов / Н. А. Поляков, О. В. Мотовилов, Н. В. Лукашов.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изд., испр. и доп.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04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Москва: Издательство Юрайт, 2023. </w:t>
      </w:r>
    </w:p>
    <w:p w14:paraId="63CB3429" w14:textId="77777777" w:rsidR="00D773D3" w:rsidRPr="00D773D3" w:rsidRDefault="00D773D3" w:rsidP="00D773D3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Дрещинский, В. А.  Основы проектирования и развития организаций: учебник для вузов / В. А. Дрещинский.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773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Москва: Издательство Юрайт, 2023. </w:t>
      </w:r>
    </w:p>
    <w:p w14:paraId="059CE4E9" w14:textId="77777777" w:rsidR="00B71FC4" w:rsidRPr="00B71FC4" w:rsidRDefault="00B71FC4" w:rsidP="00B71FC4">
      <w:pPr>
        <w:pStyle w:val="a4"/>
        <w:numPr>
          <w:ilvl w:val="0"/>
          <w:numId w:val="8"/>
        </w:numPr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F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Магомедов М.Г., Решетникова Н.Н., Угнич Е.А. Инновационный менеджмент и маркетинг</w:t>
      </w:r>
      <w:r w:rsidR="00DC57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учебное пособие</w:t>
      </w:r>
      <w:r w:rsidRPr="00B71FC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– Ростов-на-Дону: ДГТУ, 2018</w:t>
      </w:r>
    </w:p>
    <w:p w14:paraId="6F067437" w14:textId="77777777" w:rsidR="00DC5764" w:rsidRDefault="00DC5764" w:rsidP="00DC5764">
      <w:pPr>
        <w:pStyle w:val="a4"/>
        <w:numPr>
          <w:ilvl w:val="0"/>
          <w:numId w:val="8"/>
        </w:numPr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C57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Флек М.Б., Угнич Е.А. Управление промышленным предприятием в современных условиях. – Ростов-на-Дону: ДГТУ, 2017</w:t>
      </w:r>
    </w:p>
    <w:p w14:paraId="65A55D4F" w14:textId="77777777" w:rsidR="00BE5182" w:rsidRPr="00DC5764" w:rsidRDefault="00BE5182" w:rsidP="00DC5764">
      <w:pPr>
        <w:pStyle w:val="a4"/>
        <w:numPr>
          <w:ilvl w:val="0"/>
          <w:numId w:val="8"/>
        </w:numPr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E51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Дежина И.Г., Ключарев Г.А. Российские Концепции международного научно-технического сотрудничества: смена драйверов развития //СОЦИОЛОГИЯ НАУКИ И ТЕХНОЛОГИЙ. 2020. Том 11. № 4 С.51-68. DOI: 10.24411/2079-0910-2020-14003</w:t>
      </w:r>
    </w:p>
    <w:bookmarkEnd w:id="0"/>
    <w:p w14:paraId="13F99F4E" w14:textId="77777777" w:rsidR="005D2A7F" w:rsidRDefault="005D2A7F" w:rsidP="00E6775C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jc w:val="both"/>
      </w:pPr>
    </w:p>
    <w:sectPr w:rsidR="005D2A7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86F60" w14:textId="77777777" w:rsidR="00254840" w:rsidRDefault="00254840">
      <w:pPr>
        <w:spacing w:line="240" w:lineRule="auto"/>
      </w:pPr>
      <w:r>
        <w:separator/>
      </w:r>
    </w:p>
  </w:endnote>
  <w:endnote w:type="continuationSeparator" w:id="0">
    <w:p w14:paraId="1108151C" w14:textId="77777777" w:rsidR="00254840" w:rsidRDefault="002548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55666" w14:textId="77777777" w:rsidR="00254840" w:rsidRDefault="00254840">
      <w:pPr>
        <w:spacing w:after="0"/>
      </w:pPr>
      <w:r>
        <w:separator/>
      </w:r>
    </w:p>
  </w:footnote>
  <w:footnote w:type="continuationSeparator" w:id="0">
    <w:p w14:paraId="621F16B0" w14:textId="77777777" w:rsidR="00254840" w:rsidRDefault="002548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03204F"/>
    <w:multiLevelType w:val="multilevel"/>
    <w:tmpl w:val="250320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A00D8"/>
    <w:multiLevelType w:val="hybridMultilevel"/>
    <w:tmpl w:val="B000938A"/>
    <w:lvl w:ilvl="0" w:tplc="A49473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6641D"/>
    <w:multiLevelType w:val="hybridMultilevel"/>
    <w:tmpl w:val="D49AD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F688C"/>
    <w:multiLevelType w:val="multilevel"/>
    <w:tmpl w:val="704F688C"/>
    <w:lvl w:ilvl="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03C3F"/>
    <w:multiLevelType w:val="multilevel"/>
    <w:tmpl w:val="7B303C3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408729">
    <w:abstractNumId w:val="3"/>
  </w:num>
  <w:num w:numId="2" w16cid:durableId="993754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680339">
    <w:abstractNumId w:val="1"/>
    <w:lvlOverride w:ilvl="0">
      <w:startOverride w:val="1"/>
    </w:lvlOverride>
  </w:num>
  <w:num w:numId="4" w16cid:durableId="1605110096">
    <w:abstractNumId w:val="0"/>
  </w:num>
  <w:num w:numId="5" w16cid:durableId="38555922">
    <w:abstractNumId w:val="7"/>
  </w:num>
  <w:num w:numId="6" w16cid:durableId="998732411">
    <w:abstractNumId w:val="8"/>
  </w:num>
  <w:num w:numId="7" w16cid:durableId="692463060">
    <w:abstractNumId w:val="4"/>
  </w:num>
  <w:num w:numId="8" w16cid:durableId="1384329633">
    <w:abstractNumId w:val="5"/>
  </w:num>
  <w:num w:numId="9" w16cid:durableId="1848322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EE4"/>
    <w:rsid w:val="00024C4A"/>
    <w:rsid w:val="00065280"/>
    <w:rsid w:val="000B2FB9"/>
    <w:rsid w:val="0010133A"/>
    <w:rsid w:val="001067FA"/>
    <w:rsid w:val="001272F7"/>
    <w:rsid w:val="001467C1"/>
    <w:rsid w:val="00191962"/>
    <w:rsid w:val="001E1B4E"/>
    <w:rsid w:val="00200351"/>
    <w:rsid w:val="002024CA"/>
    <w:rsid w:val="00204CBF"/>
    <w:rsid w:val="00227DEC"/>
    <w:rsid w:val="00254840"/>
    <w:rsid w:val="0028264C"/>
    <w:rsid w:val="0029088F"/>
    <w:rsid w:val="002908A0"/>
    <w:rsid w:val="002C1E13"/>
    <w:rsid w:val="002D2ABF"/>
    <w:rsid w:val="0030016D"/>
    <w:rsid w:val="0032740A"/>
    <w:rsid w:val="003411E2"/>
    <w:rsid w:val="00362D02"/>
    <w:rsid w:val="003666B5"/>
    <w:rsid w:val="003F07D1"/>
    <w:rsid w:val="004176A3"/>
    <w:rsid w:val="00421745"/>
    <w:rsid w:val="00421EAA"/>
    <w:rsid w:val="0043612A"/>
    <w:rsid w:val="00452BA2"/>
    <w:rsid w:val="00456AA9"/>
    <w:rsid w:val="00466A6F"/>
    <w:rsid w:val="00472394"/>
    <w:rsid w:val="004756B0"/>
    <w:rsid w:val="00484F3A"/>
    <w:rsid w:val="00485A83"/>
    <w:rsid w:val="004F4198"/>
    <w:rsid w:val="00543EE3"/>
    <w:rsid w:val="00553382"/>
    <w:rsid w:val="00595151"/>
    <w:rsid w:val="005D2A7F"/>
    <w:rsid w:val="005E5789"/>
    <w:rsid w:val="005F1EE4"/>
    <w:rsid w:val="00615F1F"/>
    <w:rsid w:val="0065750D"/>
    <w:rsid w:val="006D011A"/>
    <w:rsid w:val="00702BBD"/>
    <w:rsid w:val="00715F57"/>
    <w:rsid w:val="00782F9E"/>
    <w:rsid w:val="007A6DBB"/>
    <w:rsid w:val="008039BE"/>
    <w:rsid w:val="00804C45"/>
    <w:rsid w:val="008A628C"/>
    <w:rsid w:val="008B6F35"/>
    <w:rsid w:val="008F125E"/>
    <w:rsid w:val="008F45C4"/>
    <w:rsid w:val="00901120"/>
    <w:rsid w:val="009A65D3"/>
    <w:rsid w:val="009C4A47"/>
    <w:rsid w:val="009F71A2"/>
    <w:rsid w:val="00A01DBC"/>
    <w:rsid w:val="00A01F93"/>
    <w:rsid w:val="00A20A68"/>
    <w:rsid w:val="00A464CB"/>
    <w:rsid w:val="00AB718E"/>
    <w:rsid w:val="00AC4D19"/>
    <w:rsid w:val="00B06336"/>
    <w:rsid w:val="00B13F95"/>
    <w:rsid w:val="00B37D4F"/>
    <w:rsid w:val="00B65A64"/>
    <w:rsid w:val="00B71FC4"/>
    <w:rsid w:val="00B91CBB"/>
    <w:rsid w:val="00B9520D"/>
    <w:rsid w:val="00BA0255"/>
    <w:rsid w:val="00BD24A2"/>
    <w:rsid w:val="00BD455F"/>
    <w:rsid w:val="00BE5182"/>
    <w:rsid w:val="00BF354C"/>
    <w:rsid w:val="00BF49F3"/>
    <w:rsid w:val="00C065C5"/>
    <w:rsid w:val="00C45303"/>
    <w:rsid w:val="00CB3861"/>
    <w:rsid w:val="00CB63D8"/>
    <w:rsid w:val="00CC16CD"/>
    <w:rsid w:val="00CE2753"/>
    <w:rsid w:val="00D07B62"/>
    <w:rsid w:val="00D1100F"/>
    <w:rsid w:val="00D323B1"/>
    <w:rsid w:val="00D549CF"/>
    <w:rsid w:val="00D7697D"/>
    <w:rsid w:val="00D773D3"/>
    <w:rsid w:val="00D911D7"/>
    <w:rsid w:val="00DC5764"/>
    <w:rsid w:val="00E6775C"/>
    <w:rsid w:val="00E8760E"/>
    <w:rsid w:val="00EA31DC"/>
    <w:rsid w:val="00EA50E9"/>
    <w:rsid w:val="00EB1219"/>
    <w:rsid w:val="00F03DDD"/>
    <w:rsid w:val="00F6470E"/>
    <w:rsid w:val="00FA62C1"/>
    <w:rsid w:val="00FC1E97"/>
    <w:rsid w:val="00FD3761"/>
    <w:rsid w:val="00FE74F3"/>
    <w:rsid w:val="1C0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543E"/>
  <w15:docId w15:val="{6CC52440-5189-8949-BCD8-FC986F43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13D40-93B1-48F4-ABBD-779BEA92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Наталья Анатольевна</dc:creator>
  <cp:lastModifiedBy>Екатерина Угнич</cp:lastModifiedBy>
  <cp:revision>18</cp:revision>
  <dcterms:created xsi:type="dcterms:W3CDTF">2023-03-05T14:38:00Z</dcterms:created>
  <dcterms:modified xsi:type="dcterms:W3CDTF">2024-09-10T06:19:00Z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C26819E2EA4B4331958C3972D317A883</vt:lpwstr>
  </property>
</Properties>
</file>